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730" w:rsidRPr="00351730" w:rsidRDefault="00351730" w:rsidP="00351730">
      <w:pPr>
        <w:spacing w:line="360" w:lineRule="auto"/>
        <w:rPr>
          <w:rFonts w:ascii="Garamond" w:hAnsi="Garamond"/>
          <w:b/>
          <w:sz w:val="28"/>
        </w:rPr>
      </w:pPr>
      <w:r w:rsidRPr="00351730">
        <w:rPr>
          <w:rFonts w:ascii="Garamond" w:hAnsi="Garamond"/>
          <w:b/>
          <w:bCs/>
          <w:sz w:val="28"/>
        </w:rPr>
        <w:t>Terms of</w:t>
      </w:r>
      <w:r>
        <w:rPr>
          <w:rFonts w:ascii="Garamond" w:hAnsi="Garamond"/>
          <w:b/>
          <w:bCs/>
          <w:sz w:val="28"/>
        </w:rPr>
        <w:t xml:space="preserve"> reference to hire</w:t>
      </w:r>
      <w:r w:rsidRPr="00351730">
        <w:rPr>
          <w:rFonts w:ascii="Garamond" w:hAnsi="Garamond"/>
          <w:b/>
          <w:bCs/>
          <w:sz w:val="28"/>
        </w:rPr>
        <w:t xml:space="preserve"> consultant fo</w:t>
      </w:r>
      <w:r>
        <w:rPr>
          <w:rFonts w:ascii="Garamond" w:hAnsi="Garamond"/>
          <w:b/>
          <w:bCs/>
          <w:sz w:val="28"/>
        </w:rPr>
        <w:t>r finalization of the 2025 </w:t>
      </w:r>
      <w:r w:rsidRPr="00351730">
        <w:rPr>
          <w:rFonts w:ascii="Garamond" w:hAnsi="Garamond"/>
          <w:b/>
          <w:bCs/>
          <w:sz w:val="28"/>
        </w:rPr>
        <w:t>National Health Facility and the Ethiopian Pharmaceuticals Supply Service (EPSS) hub's assessment on the availability of Reproductive Health/Maternal Health commodities and services. </w:t>
      </w:r>
    </w:p>
    <w:p w:rsidR="00351730" w:rsidRPr="00351730" w:rsidRDefault="00351730" w:rsidP="00351730">
      <w:pPr>
        <w:spacing w:line="360" w:lineRule="auto"/>
        <w:rPr>
          <w:rFonts w:ascii="Garamond" w:hAnsi="Garamond"/>
          <w:b/>
          <w:sz w:val="28"/>
        </w:rPr>
      </w:pPr>
      <w:hyperlink r:id="rId6" w:anchor="heading=h.mb03zwpywzl0" w:history="1">
        <w:r w:rsidRPr="00351730">
          <w:rPr>
            <w:rStyle w:val="Hyperlink"/>
            <w:rFonts w:ascii="Garamond" w:hAnsi="Garamond"/>
            <w:b/>
            <w:bCs/>
            <w:sz w:val="28"/>
          </w:rPr>
          <w:t>High-level summary report of the survey </w:t>
        </w:r>
      </w:hyperlink>
    </w:p>
    <w:p w:rsidR="00351730" w:rsidRPr="00351730" w:rsidRDefault="00351730" w:rsidP="00351730">
      <w:pPr>
        <w:spacing w:line="360" w:lineRule="auto"/>
        <w:rPr>
          <w:rFonts w:ascii="Garamond" w:hAnsi="Garamond"/>
          <w:b/>
          <w:sz w:val="28"/>
        </w:rPr>
      </w:pPr>
      <w:r w:rsidRPr="00351730">
        <w:rPr>
          <w:rFonts w:ascii="Garamond" w:hAnsi="Garamond"/>
          <w:b/>
          <w:bCs/>
          <w:sz w:val="28"/>
        </w:rPr>
        <w:t>1. Background </w:t>
      </w:r>
    </w:p>
    <w:p w:rsidR="00351730" w:rsidRPr="00351730" w:rsidRDefault="00351730" w:rsidP="00351730">
      <w:pPr>
        <w:spacing w:line="360" w:lineRule="auto"/>
        <w:rPr>
          <w:rFonts w:ascii="Garamond" w:hAnsi="Garamond"/>
          <w:b/>
          <w:sz w:val="28"/>
        </w:rPr>
      </w:pPr>
      <w:r w:rsidRPr="00351730">
        <w:rPr>
          <w:rFonts w:ascii="Garamond" w:hAnsi="Garamond"/>
          <w:b/>
          <w:sz w:val="28"/>
        </w:rPr>
        <w:t>The Ministry of Health Ethiopia has made notable progress over the past two decades in expanding access to reproductive, maternal, newborn, and child health services. Through the implementation of the Health Extension Program and successive national strategies, Ethiopia has improved service coverage, particularly at the primary healthcare level. However, persistent gaps remain in the availability, readiness, and equitable distribution of essential reproductive and maternal health commodities and services, especially in underserved and hard-to-reach areas.</w:t>
      </w:r>
    </w:p>
    <w:p w:rsidR="00351730" w:rsidRPr="00351730" w:rsidRDefault="00351730" w:rsidP="00351730">
      <w:pPr>
        <w:spacing w:line="360" w:lineRule="auto"/>
        <w:rPr>
          <w:rFonts w:ascii="Garamond" w:hAnsi="Garamond"/>
          <w:b/>
          <w:sz w:val="28"/>
        </w:rPr>
      </w:pPr>
      <w:r w:rsidRPr="00351730">
        <w:rPr>
          <w:rFonts w:ascii="Garamond" w:hAnsi="Garamond"/>
          <w:b/>
          <w:sz w:val="28"/>
        </w:rPr>
        <w:t>According to the Central Statistical Agency Ethiopia and Ethiopian Public Health Institute (Ethiopia Demographic and Health preliminary finding , 2025), the maternal mortality ratio is estimated at 141 deaths per 100,000 live births, reflecting ongoing challenges in timely access to quality maternal health services. The modern contraceptive prevalence rate among married women stands at approximately 51% with significant disparities by region, age, and socio-economic status. Unmet need for family planning (15%) remains a concern, particularly among adolescents and rural populations.</w:t>
      </w:r>
    </w:p>
    <w:p w:rsidR="00351730" w:rsidRPr="00351730" w:rsidRDefault="00351730" w:rsidP="00351730">
      <w:pPr>
        <w:spacing w:line="360" w:lineRule="auto"/>
        <w:rPr>
          <w:rFonts w:ascii="Garamond" w:hAnsi="Garamond"/>
          <w:b/>
          <w:sz w:val="28"/>
        </w:rPr>
      </w:pPr>
      <w:r w:rsidRPr="00351730">
        <w:rPr>
          <w:rFonts w:ascii="Garamond" w:hAnsi="Garamond"/>
          <w:b/>
          <w:sz w:val="28"/>
        </w:rPr>
        <w:t xml:space="preserve">Recent global and national evidence further highlights gaps in service readiness and commodity security. The World Health Organization Service Availability and Readiness Assessment (SARA) findings and related analyses </w:t>
      </w:r>
      <w:r w:rsidRPr="00351730">
        <w:rPr>
          <w:rFonts w:ascii="Garamond" w:hAnsi="Garamond"/>
          <w:b/>
          <w:sz w:val="28"/>
        </w:rPr>
        <w:lastRenderedPageBreak/>
        <w:t>indicate that not all health facilities consistently meet the minimum standards for delivering essential RMH services, with limitations observed in trained personnel, essential equipment, and adherence to clinical guidelines. In addition, reports from UNFPA and national supply chain assessments point to periodic stock-outs of lifesaving commodities, including oxytocin, magnesium sulfate (</w:t>
      </w:r>
      <w:proofErr w:type="spellStart"/>
      <w:r w:rsidRPr="00351730">
        <w:rPr>
          <w:rFonts w:ascii="Garamond" w:hAnsi="Garamond"/>
          <w:b/>
          <w:sz w:val="28"/>
        </w:rPr>
        <w:t>MgSO</w:t>
      </w:r>
      <w:proofErr w:type="spellEnd"/>
      <w:r w:rsidRPr="00351730">
        <w:rPr>
          <w:rFonts w:ascii="Times New Roman" w:hAnsi="Times New Roman" w:cs="Times New Roman"/>
          <w:b/>
          <w:sz w:val="28"/>
        </w:rPr>
        <w:t>₄</w:t>
      </w:r>
      <w:r w:rsidRPr="00351730">
        <w:rPr>
          <w:rFonts w:ascii="Garamond" w:hAnsi="Garamond"/>
          <w:b/>
          <w:sz w:val="28"/>
        </w:rPr>
        <w:t>), and selected family planning methods, particularly at lower-level facilities.</w:t>
      </w:r>
    </w:p>
    <w:p w:rsidR="00351730" w:rsidRPr="00351730" w:rsidRDefault="00351730" w:rsidP="00351730">
      <w:pPr>
        <w:spacing w:line="360" w:lineRule="auto"/>
        <w:rPr>
          <w:rFonts w:ascii="Garamond" w:hAnsi="Garamond"/>
          <w:b/>
          <w:sz w:val="28"/>
        </w:rPr>
      </w:pPr>
      <w:r w:rsidRPr="00351730">
        <w:rPr>
          <w:rFonts w:ascii="Garamond" w:hAnsi="Garamond"/>
          <w:b/>
          <w:sz w:val="28"/>
        </w:rPr>
        <w:t>Routine data and programmatic reviews under the Health Sector Transformation Plan II (HSTP II) also suggest bottlenecks in last-mile distribution, logistics management information systems (LMIS), and storage conditions, which affect the continuous availability of commodities at the point of service delivery. These challenges are further compounded by geographic disparities, humanitarian contexts, and health system capacity constraints in emerging regions.</w:t>
      </w:r>
    </w:p>
    <w:p w:rsidR="00351730" w:rsidRPr="00351730" w:rsidRDefault="00351730" w:rsidP="00351730">
      <w:pPr>
        <w:spacing w:line="360" w:lineRule="auto"/>
        <w:rPr>
          <w:rFonts w:ascii="Garamond" w:hAnsi="Garamond"/>
          <w:b/>
          <w:sz w:val="28"/>
        </w:rPr>
      </w:pPr>
      <w:r w:rsidRPr="00351730">
        <w:rPr>
          <w:rFonts w:ascii="Garamond" w:hAnsi="Garamond"/>
          <w:b/>
          <w:sz w:val="28"/>
        </w:rPr>
        <w:t>At the same time, Ethiopia remains committed to achieving Universal Health Coverage (UHC) and improving RMNCAH outcomes in line with national and global targets, including the Sustainable Development Goals (SDGs). Strengthening the availability and quality of RMH commodities and services is central to these commitments.</w:t>
      </w:r>
    </w:p>
    <w:p w:rsidR="00351730" w:rsidRPr="00351730" w:rsidRDefault="009679C5" w:rsidP="00351730">
      <w:pPr>
        <w:spacing w:line="360" w:lineRule="auto"/>
        <w:rPr>
          <w:rFonts w:ascii="Garamond" w:hAnsi="Garamond"/>
          <w:b/>
          <w:sz w:val="28"/>
        </w:rPr>
      </w:pPr>
      <w:r>
        <w:rPr>
          <w:rFonts w:ascii="Garamond" w:hAnsi="Garamond"/>
          <w:b/>
          <w:sz w:val="28"/>
        </w:rPr>
        <w:t>In this context, finalizing</w:t>
      </w:r>
      <w:r w:rsidR="00351730" w:rsidRPr="00351730">
        <w:rPr>
          <w:rFonts w:ascii="Garamond" w:hAnsi="Garamond"/>
          <w:b/>
          <w:sz w:val="28"/>
        </w:rPr>
        <w:t xml:space="preserve"> the 2025 National Assessment on the Availability of Reproductive and Maternal Health Commodities and Services</w:t>
      </w:r>
      <w:r>
        <w:rPr>
          <w:rFonts w:ascii="Garamond" w:hAnsi="Garamond"/>
          <w:b/>
          <w:sz w:val="28"/>
        </w:rPr>
        <w:t xml:space="preserve"> report</w:t>
      </w:r>
      <w:r w:rsidR="00351730" w:rsidRPr="00351730">
        <w:rPr>
          <w:rFonts w:ascii="Garamond" w:hAnsi="Garamond"/>
          <w:b/>
          <w:sz w:val="28"/>
        </w:rPr>
        <w:t xml:space="preserve"> is both time</w:t>
      </w:r>
      <w:r w:rsidR="00D10718">
        <w:rPr>
          <w:rFonts w:ascii="Garamond" w:hAnsi="Garamond"/>
          <w:b/>
          <w:sz w:val="28"/>
        </w:rPr>
        <w:t>ly and necessary. The report</w:t>
      </w:r>
      <w:r w:rsidR="00351730" w:rsidRPr="00351730">
        <w:rPr>
          <w:rFonts w:ascii="Garamond" w:hAnsi="Garamond"/>
          <w:b/>
          <w:sz w:val="28"/>
        </w:rPr>
        <w:t xml:space="preserve"> will generate updated, actionable evidence to:</w:t>
      </w:r>
    </w:p>
    <w:p w:rsidR="00351730" w:rsidRPr="00351730" w:rsidRDefault="00351730" w:rsidP="00351730">
      <w:pPr>
        <w:numPr>
          <w:ilvl w:val="0"/>
          <w:numId w:val="16"/>
        </w:numPr>
        <w:spacing w:line="360" w:lineRule="auto"/>
        <w:rPr>
          <w:rFonts w:ascii="Garamond" w:hAnsi="Garamond"/>
          <w:b/>
          <w:sz w:val="28"/>
        </w:rPr>
      </w:pPr>
      <w:r w:rsidRPr="00351730">
        <w:rPr>
          <w:rFonts w:ascii="Garamond" w:hAnsi="Garamond"/>
          <w:b/>
          <w:sz w:val="28"/>
        </w:rPr>
        <w:t>Identify critical gaps in commodity availability and service readiness </w:t>
      </w:r>
    </w:p>
    <w:p w:rsidR="00351730" w:rsidRPr="00351730" w:rsidRDefault="00351730" w:rsidP="00351730">
      <w:pPr>
        <w:numPr>
          <w:ilvl w:val="0"/>
          <w:numId w:val="16"/>
        </w:numPr>
        <w:spacing w:line="360" w:lineRule="auto"/>
        <w:rPr>
          <w:rFonts w:ascii="Garamond" w:hAnsi="Garamond"/>
          <w:b/>
          <w:sz w:val="28"/>
        </w:rPr>
      </w:pPr>
      <w:r w:rsidRPr="00351730">
        <w:rPr>
          <w:rFonts w:ascii="Garamond" w:hAnsi="Garamond"/>
          <w:b/>
          <w:sz w:val="28"/>
        </w:rPr>
        <w:t>Inform policy and strategic decision-making </w:t>
      </w:r>
    </w:p>
    <w:p w:rsidR="00351730" w:rsidRPr="00351730" w:rsidRDefault="00351730" w:rsidP="00351730">
      <w:pPr>
        <w:numPr>
          <w:ilvl w:val="0"/>
          <w:numId w:val="16"/>
        </w:numPr>
        <w:spacing w:line="360" w:lineRule="auto"/>
        <w:rPr>
          <w:rFonts w:ascii="Garamond" w:hAnsi="Garamond"/>
          <w:b/>
          <w:sz w:val="28"/>
        </w:rPr>
      </w:pPr>
      <w:r w:rsidRPr="00351730">
        <w:rPr>
          <w:rFonts w:ascii="Garamond" w:hAnsi="Garamond"/>
          <w:b/>
          <w:sz w:val="28"/>
        </w:rPr>
        <w:t>Strengthen supply chain and service delivery systems </w:t>
      </w:r>
    </w:p>
    <w:p w:rsidR="00351730" w:rsidRPr="00351730" w:rsidRDefault="00351730" w:rsidP="00351730">
      <w:pPr>
        <w:numPr>
          <w:ilvl w:val="0"/>
          <w:numId w:val="16"/>
        </w:numPr>
        <w:spacing w:line="360" w:lineRule="auto"/>
        <w:rPr>
          <w:rFonts w:ascii="Garamond" w:hAnsi="Garamond"/>
          <w:b/>
          <w:sz w:val="28"/>
        </w:rPr>
      </w:pPr>
      <w:r w:rsidRPr="00351730">
        <w:rPr>
          <w:rFonts w:ascii="Garamond" w:hAnsi="Garamond"/>
          <w:b/>
          <w:sz w:val="28"/>
        </w:rPr>
        <w:lastRenderedPageBreak/>
        <w:t>Support equitable access to quality RMH services across the country</w:t>
      </w:r>
    </w:p>
    <w:p w:rsidR="00351730" w:rsidRPr="00351730" w:rsidRDefault="00351730" w:rsidP="00351730">
      <w:pPr>
        <w:spacing w:line="360" w:lineRule="auto"/>
        <w:rPr>
          <w:rFonts w:ascii="Garamond" w:hAnsi="Garamond"/>
          <w:b/>
          <w:sz w:val="28"/>
        </w:rPr>
      </w:pPr>
      <w:r w:rsidRPr="00351730">
        <w:rPr>
          <w:rFonts w:ascii="Garamond" w:hAnsi="Garamond"/>
          <w:b/>
          <w:bCs/>
          <w:sz w:val="28"/>
        </w:rPr>
        <w:t>2. Objectives of the Assessment</w:t>
      </w:r>
    </w:p>
    <w:p w:rsidR="00351730" w:rsidRPr="00351730" w:rsidRDefault="00351730" w:rsidP="00351730">
      <w:pPr>
        <w:spacing w:line="360" w:lineRule="auto"/>
        <w:rPr>
          <w:rFonts w:ascii="Garamond" w:hAnsi="Garamond"/>
          <w:b/>
          <w:sz w:val="28"/>
        </w:rPr>
      </w:pPr>
      <w:r w:rsidRPr="00351730">
        <w:rPr>
          <w:rFonts w:ascii="Garamond" w:hAnsi="Garamond"/>
          <w:b/>
          <w:sz w:val="28"/>
        </w:rPr>
        <w:t>General Objective</w:t>
      </w:r>
    </w:p>
    <w:p w:rsidR="00351730" w:rsidRPr="00351730" w:rsidRDefault="00351730" w:rsidP="00351730">
      <w:pPr>
        <w:numPr>
          <w:ilvl w:val="0"/>
          <w:numId w:val="17"/>
        </w:numPr>
        <w:spacing w:line="360" w:lineRule="auto"/>
        <w:rPr>
          <w:rFonts w:ascii="Garamond" w:hAnsi="Garamond"/>
          <w:b/>
          <w:sz w:val="28"/>
        </w:rPr>
      </w:pPr>
      <w:r w:rsidRPr="00351730">
        <w:rPr>
          <w:rFonts w:ascii="Garamond" w:hAnsi="Garamond"/>
          <w:b/>
          <w:sz w:val="28"/>
        </w:rPr>
        <w:t>Generate a report based on the 2025 assessment using UNFPA’s Reproductive Health Commodities and services SDP Survey reporting template.</w:t>
      </w:r>
    </w:p>
    <w:p w:rsidR="00351730" w:rsidRPr="00351730" w:rsidRDefault="00351730" w:rsidP="00351730">
      <w:pPr>
        <w:spacing w:line="360" w:lineRule="auto"/>
        <w:rPr>
          <w:rFonts w:ascii="Garamond" w:hAnsi="Garamond"/>
          <w:b/>
          <w:sz w:val="28"/>
        </w:rPr>
      </w:pPr>
      <w:r w:rsidRPr="00351730">
        <w:rPr>
          <w:rFonts w:ascii="Garamond" w:hAnsi="Garamond"/>
          <w:b/>
          <w:sz w:val="28"/>
        </w:rPr>
        <w:t>Specific Objectives</w:t>
      </w:r>
    </w:p>
    <w:p w:rsidR="00351730" w:rsidRPr="00351730" w:rsidRDefault="00351730" w:rsidP="00351730">
      <w:pPr>
        <w:numPr>
          <w:ilvl w:val="0"/>
          <w:numId w:val="18"/>
        </w:numPr>
        <w:spacing w:line="360" w:lineRule="auto"/>
        <w:rPr>
          <w:rFonts w:ascii="Garamond" w:hAnsi="Garamond"/>
          <w:b/>
          <w:sz w:val="28"/>
        </w:rPr>
      </w:pPr>
      <w:r w:rsidRPr="00351730">
        <w:rPr>
          <w:rFonts w:ascii="Garamond" w:hAnsi="Garamond"/>
          <w:b/>
          <w:sz w:val="28"/>
        </w:rPr>
        <w:t>Determine the availability of key reproductive and maternal health commodities at different levels of health facilities </w:t>
      </w:r>
    </w:p>
    <w:p w:rsidR="00351730" w:rsidRPr="00351730" w:rsidRDefault="00351730" w:rsidP="00351730">
      <w:pPr>
        <w:numPr>
          <w:ilvl w:val="0"/>
          <w:numId w:val="18"/>
        </w:numPr>
        <w:spacing w:line="360" w:lineRule="auto"/>
        <w:rPr>
          <w:rFonts w:ascii="Garamond" w:hAnsi="Garamond"/>
          <w:b/>
          <w:sz w:val="28"/>
        </w:rPr>
      </w:pPr>
      <w:r w:rsidRPr="00351730">
        <w:rPr>
          <w:rFonts w:ascii="Garamond" w:hAnsi="Garamond"/>
          <w:b/>
          <w:sz w:val="28"/>
        </w:rPr>
        <w:t>Assess service readiness, including infrastructure, trained personnel, and guidelines </w:t>
      </w:r>
    </w:p>
    <w:p w:rsidR="00351730" w:rsidRPr="00351730" w:rsidRDefault="00351730" w:rsidP="00351730">
      <w:pPr>
        <w:numPr>
          <w:ilvl w:val="0"/>
          <w:numId w:val="18"/>
        </w:numPr>
        <w:spacing w:line="360" w:lineRule="auto"/>
        <w:rPr>
          <w:rFonts w:ascii="Garamond" w:hAnsi="Garamond"/>
          <w:b/>
          <w:sz w:val="28"/>
        </w:rPr>
      </w:pPr>
      <w:r w:rsidRPr="00351730">
        <w:rPr>
          <w:rFonts w:ascii="Garamond" w:hAnsi="Garamond"/>
          <w:b/>
          <w:sz w:val="28"/>
        </w:rPr>
        <w:t>Identify gaps and bottlenecks in the supply chain and service delivery system </w:t>
      </w:r>
    </w:p>
    <w:p w:rsidR="00351730" w:rsidRPr="00351730" w:rsidRDefault="00351730" w:rsidP="00351730">
      <w:pPr>
        <w:numPr>
          <w:ilvl w:val="0"/>
          <w:numId w:val="18"/>
        </w:numPr>
        <w:spacing w:line="360" w:lineRule="auto"/>
        <w:rPr>
          <w:rFonts w:ascii="Garamond" w:hAnsi="Garamond"/>
          <w:b/>
          <w:sz w:val="28"/>
        </w:rPr>
      </w:pPr>
      <w:r w:rsidRPr="00351730">
        <w:rPr>
          <w:rFonts w:ascii="Garamond" w:hAnsi="Garamond"/>
          <w:b/>
          <w:sz w:val="28"/>
        </w:rPr>
        <w:t>Examine regional and facility-level disparities in access to reproductive and maternal health services </w:t>
      </w:r>
    </w:p>
    <w:p w:rsidR="00351730" w:rsidRPr="00351730" w:rsidRDefault="00351730" w:rsidP="00351730">
      <w:pPr>
        <w:numPr>
          <w:ilvl w:val="0"/>
          <w:numId w:val="18"/>
        </w:numPr>
        <w:spacing w:line="360" w:lineRule="auto"/>
        <w:rPr>
          <w:rFonts w:ascii="Garamond" w:hAnsi="Garamond"/>
          <w:b/>
          <w:sz w:val="28"/>
        </w:rPr>
      </w:pPr>
      <w:r w:rsidRPr="00351730">
        <w:rPr>
          <w:rFonts w:ascii="Garamond" w:hAnsi="Garamond"/>
          <w:b/>
          <w:sz w:val="28"/>
        </w:rPr>
        <w:t>Generate actionable recommendations for improving availability and quality of services </w:t>
      </w:r>
    </w:p>
    <w:p w:rsidR="00351730" w:rsidRPr="00351730" w:rsidRDefault="00351730" w:rsidP="00351730">
      <w:pPr>
        <w:spacing w:line="360" w:lineRule="auto"/>
        <w:rPr>
          <w:rFonts w:ascii="Garamond" w:hAnsi="Garamond"/>
          <w:b/>
          <w:sz w:val="28"/>
        </w:rPr>
      </w:pPr>
      <w:r w:rsidRPr="00351730">
        <w:rPr>
          <w:rFonts w:ascii="Garamond" w:hAnsi="Garamond"/>
          <w:b/>
          <w:bCs/>
          <w:sz w:val="28"/>
        </w:rPr>
        <w:t>3. Scope of the Assessment</w:t>
      </w:r>
    </w:p>
    <w:p w:rsidR="00351730" w:rsidRPr="00351730" w:rsidRDefault="00351730" w:rsidP="00351730">
      <w:pPr>
        <w:spacing w:line="360" w:lineRule="auto"/>
        <w:rPr>
          <w:rFonts w:ascii="Garamond" w:hAnsi="Garamond"/>
          <w:b/>
          <w:sz w:val="28"/>
        </w:rPr>
      </w:pPr>
      <w:r w:rsidRPr="00351730">
        <w:rPr>
          <w:rFonts w:ascii="Garamond" w:hAnsi="Garamond"/>
          <w:b/>
          <w:sz w:val="28"/>
        </w:rPr>
        <w:t>The assessment for RHCS was conducted at the national level and generated a high level summary report. Therefore, The scope will be generating</w:t>
      </w:r>
      <w:proofErr w:type="gramStart"/>
      <w:r w:rsidRPr="00351730">
        <w:rPr>
          <w:rFonts w:ascii="Garamond" w:hAnsi="Garamond"/>
          <w:b/>
          <w:sz w:val="28"/>
        </w:rPr>
        <w:t>  a</w:t>
      </w:r>
      <w:proofErr w:type="gramEnd"/>
      <w:r w:rsidRPr="00351730">
        <w:rPr>
          <w:rFonts w:ascii="Garamond" w:hAnsi="Garamond"/>
          <w:b/>
          <w:sz w:val="28"/>
        </w:rPr>
        <w:t xml:space="preserve"> detailed report and coordinating consultative as well dissemination workshops.</w:t>
      </w:r>
    </w:p>
    <w:p w:rsidR="00351730" w:rsidRPr="00351730" w:rsidRDefault="00351730" w:rsidP="00351730">
      <w:pPr>
        <w:spacing w:line="360" w:lineRule="auto"/>
        <w:rPr>
          <w:rFonts w:ascii="Garamond" w:hAnsi="Garamond"/>
          <w:b/>
          <w:sz w:val="28"/>
        </w:rPr>
      </w:pPr>
      <w:r w:rsidRPr="00351730">
        <w:rPr>
          <w:rFonts w:ascii="Garamond" w:hAnsi="Garamond"/>
          <w:b/>
          <w:bCs/>
          <w:sz w:val="28"/>
        </w:rPr>
        <w:t>4. Methodology</w:t>
      </w:r>
    </w:p>
    <w:p w:rsidR="00351730" w:rsidRPr="00351730" w:rsidRDefault="00351730" w:rsidP="00351730">
      <w:pPr>
        <w:spacing w:line="360" w:lineRule="auto"/>
        <w:rPr>
          <w:rFonts w:ascii="Garamond" w:hAnsi="Garamond"/>
          <w:b/>
          <w:sz w:val="28"/>
        </w:rPr>
      </w:pPr>
      <w:r w:rsidRPr="00351730">
        <w:rPr>
          <w:rFonts w:ascii="Garamond" w:hAnsi="Garamond"/>
          <w:b/>
          <w:sz w:val="28"/>
        </w:rPr>
        <w:lastRenderedPageBreak/>
        <w:t>A mixed-methods approach will be used to ensure detailed analysis and generating</w:t>
      </w:r>
      <w:proofErr w:type="gramStart"/>
      <w:r w:rsidRPr="00351730">
        <w:rPr>
          <w:rFonts w:ascii="Garamond" w:hAnsi="Garamond"/>
          <w:b/>
          <w:sz w:val="28"/>
        </w:rPr>
        <w:t>  reports</w:t>
      </w:r>
      <w:proofErr w:type="gramEnd"/>
      <w:r w:rsidRPr="00351730">
        <w:rPr>
          <w:rFonts w:ascii="Garamond" w:hAnsi="Garamond"/>
          <w:b/>
          <w:sz w:val="28"/>
        </w:rPr>
        <w:t>.  Desk Review includes national policies, strategies, and previous assessments; analysis of routine health information systems (HMIS, LMIS) and review of reports from partners and development agencies. Quantitative component such as facility-based assessment using structured checklists; sampling of facilities using a representative approach and data collection on commodity availability, stock status, and service readiness.  Qualitative assessment including key informant interviews (KII) with MoH officials, Regional health bureaus, Facility managers and Supply chain personnel and Focus Group Discussions with service providers. </w:t>
      </w:r>
    </w:p>
    <w:p w:rsidR="00351730" w:rsidRPr="00351730" w:rsidRDefault="00351730" w:rsidP="00351730">
      <w:pPr>
        <w:spacing w:line="360" w:lineRule="auto"/>
        <w:rPr>
          <w:rFonts w:ascii="Garamond" w:hAnsi="Garamond"/>
          <w:b/>
          <w:sz w:val="28"/>
        </w:rPr>
      </w:pPr>
      <w:r w:rsidRPr="00351730">
        <w:rPr>
          <w:rFonts w:ascii="Garamond" w:hAnsi="Garamond"/>
          <w:b/>
          <w:sz w:val="28"/>
        </w:rPr>
        <w:t>The data analysis will include descriptive statistics and thematic analysis for quantitative findings which will be supported by triangulation of findings from multiple sources.</w:t>
      </w:r>
    </w:p>
    <w:p w:rsidR="00351730" w:rsidRPr="00351730" w:rsidRDefault="00351730" w:rsidP="00351730">
      <w:pPr>
        <w:spacing w:line="360" w:lineRule="auto"/>
        <w:rPr>
          <w:rFonts w:ascii="Garamond" w:hAnsi="Garamond"/>
          <w:b/>
          <w:sz w:val="28"/>
        </w:rPr>
      </w:pPr>
      <w:r w:rsidRPr="00351730">
        <w:rPr>
          <w:rFonts w:ascii="Garamond" w:hAnsi="Garamond"/>
          <w:b/>
          <w:bCs/>
          <w:sz w:val="28"/>
        </w:rPr>
        <w:t>5. Key Deliverables</w:t>
      </w:r>
    </w:p>
    <w:p w:rsidR="00351730" w:rsidRPr="00351730" w:rsidRDefault="00351730" w:rsidP="00351730">
      <w:pPr>
        <w:numPr>
          <w:ilvl w:val="0"/>
          <w:numId w:val="19"/>
        </w:numPr>
        <w:spacing w:line="360" w:lineRule="auto"/>
        <w:rPr>
          <w:rFonts w:ascii="Garamond" w:hAnsi="Garamond"/>
          <w:b/>
          <w:sz w:val="28"/>
        </w:rPr>
      </w:pPr>
      <w:r w:rsidRPr="00351730">
        <w:rPr>
          <w:rFonts w:ascii="Garamond" w:hAnsi="Garamond"/>
          <w:b/>
          <w:sz w:val="28"/>
        </w:rPr>
        <w:t>Inception report</w:t>
      </w:r>
    </w:p>
    <w:p w:rsidR="00351730" w:rsidRPr="00351730" w:rsidRDefault="00351730" w:rsidP="00351730">
      <w:pPr>
        <w:numPr>
          <w:ilvl w:val="0"/>
          <w:numId w:val="19"/>
        </w:numPr>
        <w:spacing w:line="360" w:lineRule="auto"/>
        <w:rPr>
          <w:rFonts w:ascii="Garamond" w:hAnsi="Garamond"/>
          <w:b/>
          <w:sz w:val="28"/>
        </w:rPr>
      </w:pPr>
      <w:r w:rsidRPr="00351730">
        <w:rPr>
          <w:rFonts w:ascii="Garamond" w:hAnsi="Garamond"/>
          <w:b/>
          <w:sz w:val="28"/>
        </w:rPr>
        <w:t>Generate  report </w:t>
      </w:r>
    </w:p>
    <w:p w:rsidR="00351730" w:rsidRPr="00351730" w:rsidRDefault="00351730" w:rsidP="00351730">
      <w:pPr>
        <w:numPr>
          <w:ilvl w:val="0"/>
          <w:numId w:val="19"/>
        </w:numPr>
        <w:spacing w:line="360" w:lineRule="auto"/>
        <w:rPr>
          <w:rFonts w:ascii="Garamond" w:hAnsi="Garamond"/>
          <w:b/>
          <w:sz w:val="28"/>
        </w:rPr>
      </w:pPr>
      <w:r w:rsidRPr="00351730">
        <w:rPr>
          <w:rFonts w:ascii="Garamond" w:hAnsi="Garamond"/>
          <w:b/>
          <w:sz w:val="28"/>
        </w:rPr>
        <w:t>Stakeholder validation workshops</w:t>
      </w:r>
    </w:p>
    <w:p w:rsidR="00351730" w:rsidRPr="00351730" w:rsidRDefault="00351730" w:rsidP="00351730">
      <w:pPr>
        <w:numPr>
          <w:ilvl w:val="0"/>
          <w:numId w:val="19"/>
        </w:numPr>
        <w:spacing w:line="360" w:lineRule="auto"/>
        <w:rPr>
          <w:rFonts w:ascii="Garamond" w:hAnsi="Garamond"/>
          <w:b/>
          <w:sz w:val="28"/>
        </w:rPr>
      </w:pPr>
      <w:r w:rsidRPr="00351730">
        <w:rPr>
          <w:rFonts w:ascii="Garamond" w:hAnsi="Garamond"/>
          <w:b/>
          <w:sz w:val="28"/>
        </w:rPr>
        <w:t>Final Dissemination report incorporating feedback </w:t>
      </w:r>
    </w:p>
    <w:p w:rsidR="00E311E4" w:rsidRDefault="00E311E4" w:rsidP="00351730">
      <w:pPr>
        <w:spacing w:line="360" w:lineRule="auto"/>
        <w:rPr>
          <w:rFonts w:ascii="Garamond" w:hAnsi="Garamond"/>
          <w:b/>
          <w:bCs/>
          <w:sz w:val="28"/>
        </w:rPr>
      </w:pPr>
      <w:r>
        <w:rPr>
          <w:rFonts w:ascii="Garamond" w:hAnsi="Garamond"/>
          <w:b/>
          <w:bCs/>
          <w:sz w:val="28"/>
        </w:rPr>
        <w:t xml:space="preserve">6. </w:t>
      </w:r>
      <w:bookmarkStart w:id="0" w:name="_GoBack"/>
      <w:bookmarkEnd w:id="0"/>
    </w:p>
    <w:p w:rsidR="00E311E4" w:rsidRPr="00E311E4" w:rsidRDefault="00E311E4" w:rsidP="00351730">
      <w:pPr>
        <w:spacing w:line="360" w:lineRule="auto"/>
        <w:rPr>
          <w:rFonts w:ascii="Garamond" w:hAnsi="Garamond"/>
          <w:b/>
          <w:bCs/>
          <w:sz w:val="28"/>
        </w:rPr>
      </w:pPr>
      <w:r>
        <w:rPr>
          <w:rFonts w:ascii="Garamond" w:hAnsi="Garamond"/>
          <w:b/>
          <w:bCs/>
          <w:sz w:val="28"/>
        </w:rPr>
        <w:t>7</w:t>
      </w:r>
      <w:r w:rsidR="00351730" w:rsidRPr="00351730">
        <w:rPr>
          <w:rFonts w:ascii="Garamond" w:hAnsi="Garamond"/>
          <w:b/>
          <w:bCs/>
          <w:sz w:val="28"/>
        </w:rPr>
        <w:t>. Timeline</w:t>
      </w:r>
    </w:p>
    <w:p w:rsidR="00351730" w:rsidRPr="00351730" w:rsidRDefault="00351730" w:rsidP="00351730">
      <w:pPr>
        <w:spacing w:line="360" w:lineRule="auto"/>
        <w:rPr>
          <w:rFonts w:ascii="Garamond" w:hAnsi="Garamond"/>
          <w:b/>
          <w:sz w:val="28"/>
        </w:rPr>
      </w:pPr>
      <w:r w:rsidRPr="00351730">
        <w:rPr>
          <w:rFonts w:ascii="Garamond" w:hAnsi="Garamond"/>
          <w:b/>
          <w:sz w:val="28"/>
        </w:rPr>
        <w:t>The assessment is expected to be completed within 6 – 8 weeks.</w:t>
      </w:r>
    </w:p>
    <w:p w:rsidR="00351730" w:rsidRPr="00737657" w:rsidRDefault="00351730" w:rsidP="001D0409">
      <w:pPr>
        <w:spacing w:line="360" w:lineRule="auto"/>
        <w:rPr>
          <w:rFonts w:ascii="Garamond" w:hAnsi="Garamond"/>
          <w:b/>
          <w:sz w:val="28"/>
        </w:rPr>
      </w:pPr>
    </w:p>
    <w:sectPr w:rsidR="00351730" w:rsidRPr="007376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B0C84"/>
    <w:multiLevelType w:val="multilevel"/>
    <w:tmpl w:val="937EA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546BA"/>
    <w:multiLevelType w:val="multilevel"/>
    <w:tmpl w:val="41D64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654B04"/>
    <w:multiLevelType w:val="multilevel"/>
    <w:tmpl w:val="22569A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001B0A"/>
    <w:multiLevelType w:val="hybridMultilevel"/>
    <w:tmpl w:val="738C4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9F5719"/>
    <w:multiLevelType w:val="multilevel"/>
    <w:tmpl w:val="260AB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604D95"/>
    <w:multiLevelType w:val="hybridMultilevel"/>
    <w:tmpl w:val="7ECCC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274013"/>
    <w:multiLevelType w:val="multilevel"/>
    <w:tmpl w:val="9028E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B175AE"/>
    <w:multiLevelType w:val="multilevel"/>
    <w:tmpl w:val="CF5ED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9D2043"/>
    <w:multiLevelType w:val="hybridMultilevel"/>
    <w:tmpl w:val="9B72F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6374F7"/>
    <w:multiLevelType w:val="hybridMultilevel"/>
    <w:tmpl w:val="72408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64042D"/>
    <w:multiLevelType w:val="hybridMultilevel"/>
    <w:tmpl w:val="BB564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B31BA8"/>
    <w:multiLevelType w:val="multilevel"/>
    <w:tmpl w:val="540E3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CB3F45"/>
    <w:multiLevelType w:val="multilevel"/>
    <w:tmpl w:val="FD5C7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0824C94"/>
    <w:multiLevelType w:val="multilevel"/>
    <w:tmpl w:val="037C0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4C12AA8"/>
    <w:multiLevelType w:val="multilevel"/>
    <w:tmpl w:val="53A200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9C1317"/>
    <w:multiLevelType w:val="multilevel"/>
    <w:tmpl w:val="188C2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BEA66B8"/>
    <w:multiLevelType w:val="multilevel"/>
    <w:tmpl w:val="D354B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3CE34E9"/>
    <w:multiLevelType w:val="multilevel"/>
    <w:tmpl w:val="1548B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A7D1DEA"/>
    <w:multiLevelType w:val="multilevel"/>
    <w:tmpl w:val="C460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7"/>
  </w:num>
  <w:num w:numId="4">
    <w:abstractNumId w:val="12"/>
  </w:num>
  <w:num w:numId="5">
    <w:abstractNumId w:val="2"/>
  </w:num>
  <w:num w:numId="6">
    <w:abstractNumId w:val="6"/>
  </w:num>
  <w:num w:numId="7">
    <w:abstractNumId w:val="7"/>
  </w:num>
  <w:num w:numId="8">
    <w:abstractNumId w:val="14"/>
  </w:num>
  <w:num w:numId="9">
    <w:abstractNumId w:val="13"/>
  </w:num>
  <w:num w:numId="10">
    <w:abstractNumId w:val="16"/>
  </w:num>
  <w:num w:numId="11">
    <w:abstractNumId w:val="8"/>
  </w:num>
  <w:num w:numId="12">
    <w:abstractNumId w:val="5"/>
  </w:num>
  <w:num w:numId="13">
    <w:abstractNumId w:val="9"/>
  </w:num>
  <w:num w:numId="14">
    <w:abstractNumId w:val="10"/>
  </w:num>
  <w:num w:numId="15">
    <w:abstractNumId w:val="3"/>
  </w:num>
  <w:num w:numId="16">
    <w:abstractNumId w:val="11"/>
  </w:num>
  <w:num w:numId="17">
    <w:abstractNumId w:val="15"/>
  </w:num>
  <w:num w:numId="18">
    <w:abstractNumId w:val="1"/>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42D"/>
    <w:rsid w:val="001D0409"/>
    <w:rsid w:val="0024471F"/>
    <w:rsid w:val="00351730"/>
    <w:rsid w:val="0038042D"/>
    <w:rsid w:val="00406DFC"/>
    <w:rsid w:val="004D38E6"/>
    <w:rsid w:val="0053429C"/>
    <w:rsid w:val="0061317C"/>
    <w:rsid w:val="00737657"/>
    <w:rsid w:val="0076142C"/>
    <w:rsid w:val="007D049C"/>
    <w:rsid w:val="008C3E87"/>
    <w:rsid w:val="009679C5"/>
    <w:rsid w:val="00BD7D18"/>
    <w:rsid w:val="00BE2513"/>
    <w:rsid w:val="00D10718"/>
    <w:rsid w:val="00E311E4"/>
    <w:rsid w:val="00E977EB"/>
    <w:rsid w:val="00EC22D2"/>
    <w:rsid w:val="00F61199"/>
    <w:rsid w:val="00F95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77EB"/>
    <w:pPr>
      <w:ind w:left="720"/>
      <w:contextualSpacing/>
    </w:pPr>
  </w:style>
  <w:style w:type="character" w:styleId="Hyperlink">
    <w:name w:val="Hyperlink"/>
    <w:basedOn w:val="DefaultParagraphFont"/>
    <w:uiPriority w:val="99"/>
    <w:unhideWhenUsed/>
    <w:rsid w:val="0035173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77EB"/>
    <w:pPr>
      <w:ind w:left="720"/>
      <w:contextualSpacing/>
    </w:pPr>
  </w:style>
  <w:style w:type="character" w:styleId="Hyperlink">
    <w:name w:val="Hyperlink"/>
    <w:basedOn w:val="DefaultParagraphFont"/>
    <w:uiPriority w:val="99"/>
    <w:unhideWhenUsed/>
    <w:rsid w:val="003517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90191">
      <w:bodyDiv w:val="1"/>
      <w:marLeft w:val="0"/>
      <w:marRight w:val="0"/>
      <w:marTop w:val="0"/>
      <w:marBottom w:val="0"/>
      <w:divBdr>
        <w:top w:val="none" w:sz="0" w:space="0" w:color="auto"/>
        <w:left w:val="none" w:sz="0" w:space="0" w:color="auto"/>
        <w:bottom w:val="none" w:sz="0" w:space="0" w:color="auto"/>
        <w:right w:val="none" w:sz="0" w:space="0" w:color="auto"/>
      </w:divBdr>
    </w:div>
    <w:div w:id="1065225185">
      <w:bodyDiv w:val="1"/>
      <w:marLeft w:val="0"/>
      <w:marRight w:val="0"/>
      <w:marTop w:val="0"/>
      <w:marBottom w:val="0"/>
      <w:divBdr>
        <w:top w:val="none" w:sz="0" w:space="0" w:color="auto"/>
        <w:left w:val="none" w:sz="0" w:space="0" w:color="auto"/>
        <w:bottom w:val="none" w:sz="0" w:space="0" w:color="auto"/>
        <w:right w:val="none" w:sz="0" w:space="0" w:color="auto"/>
      </w:divBdr>
    </w:div>
    <w:div w:id="179131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document/d/1XEiJcsDvZNK5pCLXET3sKeX7H3zvkoSk/ed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4</Pages>
  <Words>835</Words>
  <Characters>4765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dc:creator>
  <cp:lastModifiedBy>BETTY</cp:lastModifiedBy>
  <cp:revision>5</cp:revision>
  <dcterms:created xsi:type="dcterms:W3CDTF">2026-04-21T16:48:00Z</dcterms:created>
  <dcterms:modified xsi:type="dcterms:W3CDTF">2026-05-20T18:09:00Z</dcterms:modified>
</cp:coreProperties>
</file>